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95" w:rsidRPr="00B51D04" w:rsidRDefault="00696E95" w:rsidP="00BC10D7">
      <w:pPr>
        <w:keepNext/>
        <w:keepLines/>
        <w:spacing w:line="360" w:lineRule="exact"/>
        <w:jc w:val="center"/>
        <w:rPr>
          <w:rStyle w:val="Heading10"/>
          <w:rFonts w:eastAsia="Arial Unicode MS"/>
        </w:rPr>
      </w:pPr>
      <w:bookmarkStart w:id="0" w:name="bookmark0"/>
      <w:bookmarkStart w:id="1" w:name="_GoBack"/>
      <w:bookmarkEnd w:id="1"/>
    </w:p>
    <w:p w:rsidR="00BC10D7" w:rsidRPr="00A90F97" w:rsidRDefault="00BC10D7" w:rsidP="00BC10D7">
      <w:pPr>
        <w:keepNext/>
        <w:keepLines/>
        <w:spacing w:line="360" w:lineRule="exact"/>
        <w:jc w:val="center"/>
        <w:rPr>
          <w:rFonts w:ascii="Verdana" w:hAnsi="Verdana"/>
          <w:b/>
          <w:sz w:val="20"/>
          <w:szCs w:val="20"/>
        </w:rPr>
      </w:pPr>
      <w:r w:rsidRPr="00A90F97">
        <w:rPr>
          <w:rStyle w:val="Heading10"/>
          <w:rFonts w:ascii="Verdana" w:eastAsia="Arial Unicode MS" w:hAnsi="Verdana"/>
          <w:b/>
          <w:sz w:val="24"/>
          <w:szCs w:val="24"/>
          <w:u w:val="none"/>
        </w:rPr>
        <w:t>мотиви</w:t>
      </w:r>
      <w:bookmarkEnd w:id="0"/>
      <w:r w:rsidRPr="00A90F97">
        <w:rPr>
          <w:rStyle w:val="Heading10"/>
          <w:rFonts w:ascii="Verdana" w:eastAsia="Arial Unicode MS" w:hAnsi="Verdana"/>
          <w:b/>
          <w:sz w:val="24"/>
          <w:szCs w:val="24"/>
          <w:u w:val="none"/>
        </w:rPr>
        <w:br/>
      </w:r>
      <w:r w:rsidRPr="00A90F97">
        <w:rPr>
          <w:rStyle w:val="Bodytext2"/>
          <w:rFonts w:ascii="Verdana" w:eastAsia="Arial Unicode MS" w:hAnsi="Verdana"/>
          <w:b/>
          <w:sz w:val="20"/>
          <w:szCs w:val="20"/>
        </w:rPr>
        <w:t>към</w:t>
      </w:r>
    </w:p>
    <w:p w:rsidR="00423248" w:rsidRPr="00A90F97" w:rsidRDefault="00F87060" w:rsidP="00A90F97">
      <w:pPr>
        <w:pStyle w:val="Bodytext20"/>
        <w:shd w:val="clear" w:color="auto" w:fill="auto"/>
        <w:spacing w:before="0"/>
        <w:rPr>
          <w:rFonts w:ascii="Verdana" w:hAnsi="Verdana"/>
          <w:b/>
          <w:sz w:val="20"/>
          <w:szCs w:val="20"/>
          <w:lang w:val="bg-BG"/>
        </w:rPr>
      </w:pPr>
      <w:r w:rsidRPr="00A90F97">
        <w:rPr>
          <w:rFonts w:ascii="Verdana" w:eastAsia="MS Mincho" w:hAnsi="Verdana"/>
          <w:b/>
          <w:iCs/>
          <w:sz w:val="20"/>
          <w:szCs w:val="20"/>
          <w:lang w:val="bg-BG"/>
        </w:rPr>
        <w:t xml:space="preserve">проект на </w:t>
      </w:r>
      <w:r w:rsidR="0028480F" w:rsidRPr="00A90F97">
        <w:rPr>
          <w:rFonts w:ascii="Verdana" w:eastAsia="MS Mincho" w:hAnsi="Verdana"/>
          <w:b/>
          <w:iCs/>
          <w:sz w:val="20"/>
          <w:szCs w:val="20"/>
          <w:lang w:val="bg-BG"/>
        </w:rPr>
        <w:t xml:space="preserve">Наредба за съдържанието, условията и реда за създаване и поддържане на специализираните карти и регистри на </w:t>
      </w:r>
      <w:r w:rsidR="00C33F8F" w:rsidRPr="00A90F97">
        <w:rPr>
          <w:rFonts w:ascii="Verdana" w:eastAsia="MS Mincho" w:hAnsi="Verdana"/>
          <w:b/>
          <w:iCs/>
          <w:sz w:val="20"/>
          <w:szCs w:val="20"/>
          <w:lang w:val="bg-BG"/>
        </w:rPr>
        <w:t>енергийните обекти и съоръжения, собственост на операторите на електропреносната и на  електроразпределителните мрежи (Наредбата).</w:t>
      </w:r>
    </w:p>
    <w:p w:rsidR="00696E95" w:rsidRDefault="00696E95" w:rsidP="00502551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</w:p>
    <w:p w:rsidR="00A90F97" w:rsidRDefault="00A90F97" w:rsidP="00A90F97">
      <w:pPr>
        <w:pStyle w:val="ListParagraph"/>
        <w:widowControl/>
        <w:numPr>
          <w:ilvl w:val="0"/>
          <w:numId w:val="2"/>
        </w:numPr>
        <w:spacing w:line="36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</w:pPr>
      <w:r w:rsidRPr="00A90F97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Причини, които налагат приемането на Наредбата:</w:t>
      </w:r>
    </w:p>
    <w:p w:rsidR="006E42FE" w:rsidRPr="006E42FE" w:rsidRDefault="006E42FE" w:rsidP="006E42FE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 w:rsidRPr="006E42FE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Съгласно чл.</w:t>
      </w:r>
      <w:r w:rsidR="00E85FF9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</w:t>
      </w:r>
      <w:r w:rsidRPr="006E42FE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32, ал.1, т.1, б. “б“ от Закона за кадастъра и имотния регистър (ЗКИР) (в сила от 01.01.2001 г., посл. изм. и доп. ДВ. бр. 8 от 25.01.2023 г.), ведомствата, общините, експлоатационните дружества и други юридически лица съобразно характера на своите функции организират набирането, поддържането в актуално състояние и предоставянето на специализирани данни за строежи, съоръжения и други обекти в поземлените имоти, включително за линейните обекти (надземните и подземните проводи и съоръжения) на техническата инфраструктура и техните сервитутни ивици, без сградите и съоръженията със самостоятелните обекти в тях. Съгласно чл. 32, ал. 3 от ЗКИР, съдържанието на специализираните карти и регистри и условията и редът за създаването и поддържането им се определят с наредби, издадени от ръководителя на съответното ведомство и министъра на регионалното развитие и благоустройството.</w:t>
      </w:r>
    </w:p>
    <w:p w:rsidR="006E42FE" w:rsidRPr="006E42FE" w:rsidRDefault="0080372C" w:rsidP="006E42FE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С </w:t>
      </w:r>
      <w:r w:rsidR="006E42FE" w:rsidRPr="006E42FE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проект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а</w:t>
      </w:r>
      <w:r w:rsidR="006E42FE" w:rsidRPr="006E42FE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на Наредба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та </w:t>
      </w:r>
      <w:r w:rsidR="006E42FE" w:rsidRPr="006E42FE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се определят съдържанието, условията и редът за създаването, поддържането и съхранението на специализираните карти и регистри на  енергийните обекти и съоръжения, собственост на операторите на електропреносната и на електроразпределителните мрежи, разположени в тяхната лицензионна територия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, </w:t>
      </w:r>
      <w:r w:rsidRPr="0080372C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по смисъла на § 1, т. 24 от Допълнителните разпоредби на Закона за енергетиката.</w:t>
      </w:r>
      <w:r w:rsidR="006E42FE" w:rsidRPr="006E42FE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</w:t>
      </w:r>
    </w:p>
    <w:p w:rsidR="00A90F97" w:rsidRPr="006E42FE" w:rsidRDefault="0080372C" w:rsidP="006E42FE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</w:t>
      </w:r>
      <w:r w:rsidRPr="0080372C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Проектът на Наредба е разработен в изпълнение на § 23 (1) от Преходните и заключителни разпоредби към Закона за изменение и допълнение на Закона за кадастъра и имотния регистър (ЗИД ЗКИР) (ДВ, бр. 41 от 2019 г., в сила от 22.08.2019 г.).</w:t>
      </w:r>
    </w:p>
    <w:p w:rsidR="00A90F97" w:rsidRPr="00A90F97" w:rsidRDefault="00A90F97" w:rsidP="00A90F97">
      <w:pPr>
        <w:widowControl/>
        <w:spacing w:line="36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</w:pPr>
    </w:p>
    <w:p w:rsidR="00A90F97" w:rsidRPr="00A90F97" w:rsidRDefault="00A90F97" w:rsidP="00A90F97">
      <w:pPr>
        <w:pStyle w:val="ListParagraph"/>
        <w:widowControl/>
        <w:numPr>
          <w:ilvl w:val="0"/>
          <w:numId w:val="2"/>
        </w:numPr>
        <w:spacing w:line="36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</w:pPr>
      <w:r w:rsidRPr="00A90F97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Целите, които се поставят:</w:t>
      </w:r>
    </w:p>
    <w:p w:rsidR="001865C8" w:rsidRDefault="006E42FE" w:rsidP="001865C8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6E42FE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Специализираните карти и регистри, съгласно проекта на Наредба се изработват с цел документиране на пространственото положение и основните технически характеристики на изградената  енергийна мрежа в лицензионна територия на енергийно предприятие, осигуряват информация при</w:t>
      </w:r>
      <w:r w:rsid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:</w:t>
      </w:r>
      <w:r w:rsidRPr="006E42FE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експлоатация и поддържане на електрически подстанции, възлови станции, трансформаторни постове и електропроводи високо, средно и ниско напрежение; проучване и проектиране за изграждане на нови и реконструкция на съществуващи електрически подстанции, възлови станции, трансформаторни постове и електропроводи високо, средно и ниско напрежение и други обекти на енергийната мрежа; изработване на устройствени схеми и общи и подробни устройствени планове; предварителни проучвания и изработване на инвестиционни проекти; създаване на </w:t>
      </w:r>
      <w:r w:rsidRPr="006E42FE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lastRenderedPageBreak/>
        <w:t>информационна система от оператора на съответната мрежа за изградената енергийната мрежа в  лицензионната си  територия.</w:t>
      </w:r>
      <w:r w:rsid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</w:t>
      </w:r>
    </w:p>
    <w:p w:rsidR="001865C8" w:rsidRDefault="001865C8" w:rsidP="001865C8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С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пециализирани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те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карти и регистри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се 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създават и поддържат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от о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ператорите на електропреносната и на електоразпределителните мрежи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. Тези дружества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може да възлагат набирането и поддържането в актуално състояние на специализирани данни за енергийните обекти и съоръженията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,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и </w:t>
      </w:r>
      <w:r w:rsidRPr="001865C8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на правоспособно лице по чл. 16 от ЗКИР. </w:t>
      </w:r>
    </w:p>
    <w:p w:rsidR="00662F6A" w:rsidRPr="0080372C" w:rsidRDefault="00662F6A" w:rsidP="00662F6A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Специализираните карти и регистри се създават, съхраняват и поддържат в цифров вид във формат, съгласно изискванията на чл. 12, т. 5 от ЗКИР или във формат, поддържан от Единната информационна точка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, като по този начин се осигурява облекчен достъп до тях</w:t>
      </w: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.  </w:t>
      </w:r>
    </w:p>
    <w:p w:rsidR="00662F6A" w:rsidRDefault="00662F6A" w:rsidP="00A90F97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</w:pPr>
    </w:p>
    <w:p w:rsidR="00A90F97" w:rsidRPr="00A90F97" w:rsidRDefault="00A90F97" w:rsidP="00A90F97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A90F97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3. Финансови и други средства, необходими за прилагането на новата уредба:</w:t>
      </w:r>
    </w:p>
    <w:p w:rsidR="00A90F97" w:rsidRDefault="00A90F97" w:rsidP="00A90F97">
      <w:pPr>
        <w:widowControl/>
        <w:spacing w:line="360" w:lineRule="auto"/>
        <w:ind w:firstLine="567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 </w:t>
      </w:r>
      <w:r w:rsidRPr="00A90F97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Прилагането на проекта на Наредбата не е обвързано с разходи за държавния бюджет.</w:t>
      </w:r>
    </w:p>
    <w:p w:rsidR="0080372C" w:rsidRDefault="0080372C" w:rsidP="00A90F97">
      <w:pPr>
        <w:widowControl/>
        <w:spacing w:line="360" w:lineRule="auto"/>
        <w:ind w:firstLine="567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</w:p>
    <w:p w:rsidR="00AA228E" w:rsidRPr="00AA228E" w:rsidRDefault="00AA228E" w:rsidP="00AA228E">
      <w:pPr>
        <w:pStyle w:val="ListParagraph"/>
        <w:widowControl/>
        <w:numPr>
          <w:ilvl w:val="0"/>
          <w:numId w:val="3"/>
        </w:numPr>
        <w:spacing w:line="36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</w:pPr>
      <w:r w:rsidRPr="00AA228E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Очаквани резултати от прилагането:</w:t>
      </w:r>
    </w:p>
    <w:p w:rsidR="00AA228E" w:rsidRDefault="0080372C" w:rsidP="0080372C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Операторите на електропреносната и на електроразпределителните мрежи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ще</w:t>
      </w: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предоставят публичен достъп до специализираните карти, регистри и информационните системи за извършване на справки и проверки, както и за получаване на специализирани данни, които набират и поддържат в актуално състояние, съобразно характера на своите функции.</w:t>
      </w:r>
    </w:p>
    <w:p w:rsidR="0080372C" w:rsidRDefault="0080372C" w:rsidP="0080372C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В проекта на Наредба е предвидено достъпът до данните от специализираните карти и регистри да се осъществява по електронен път чрез информационния портал на Единната информационна точка, съгласно изискванията на Н</w:t>
      </w:r>
      <w:r w:rsidR="00662F6A"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аредба</w:t>
      </w:r>
      <w:r w:rsidR="00662F6A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та</w:t>
      </w: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за форматите на данните и за условията и реда за предоставяне на достъп до информацията в Единната информационна точка.</w:t>
      </w:r>
    </w:p>
    <w:p w:rsidR="0075183A" w:rsidRDefault="0080372C" w:rsidP="0080372C">
      <w:pPr>
        <w:widowControl/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8037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В специализираните карти и регистри, освен данни за изградената мрежа се отразяват и зони на ограничения върху поземлени имоти, които произтичат от сервитут или ограничение, възникнало въз основа на нормативен акт, административен акт или договор. </w:t>
      </w:r>
    </w:p>
    <w:p w:rsidR="00A90F97" w:rsidRPr="0093793A" w:rsidRDefault="0093793A" w:rsidP="0093793A">
      <w:pPr>
        <w:pStyle w:val="ListParagraph"/>
        <w:widowControl/>
        <w:numPr>
          <w:ilvl w:val="0"/>
          <w:numId w:val="3"/>
        </w:numPr>
        <w:spacing w:line="36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</w:pPr>
      <w:r w:rsidRPr="0093793A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Анализ за съответствие с правото на Европейския съюз:</w:t>
      </w:r>
    </w:p>
    <w:p w:rsidR="007F2DCB" w:rsidRPr="00A90F97" w:rsidRDefault="0093793A" w:rsidP="00662F6A">
      <w:pPr>
        <w:widowControl/>
        <w:spacing w:line="360" w:lineRule="auto"/>
        <w:ind w:firstLine="567"/>
        <w:jc w:val="both"/>
        <w:textAlignment w:val="center"/>
        <w:rPr>
          <w:rFonts w:ascii="Verdana" w:eastAsia="MS Mincho" w:hAnsi="Verdana" w:cs="Times New Roman"/>
          <w:iCs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  </w:t>
      </w:r>
      <w:r w:rsidRPr="00A90F97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Прилагането на проекта на Наредбата не транспонира европейско законодателство.</w:t>
      </w:r>
    </w:p>
    <w:sectPr w:rsidR="007F2DCB" w:rsidRPr="00A90F97" w:rsidSect="006E42FE">
      <w:footerReference w:type="default" r:id="rId8"/>
      <w:pgSz w:w="11900" w:h="16840"/>
      <w:pgMar w:top="1135" w:right="905" w:bottom="993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72" w:rsidRDefault="00722772">
      <w:r>
        <w:separator/>
      </w:r>
    </w:p>
  </w:endnote>
  <w:endnote w:type="continuationSeparator" w:id="0">
    <w:p w:rsidR="00722772" w:rsidRDefault="0072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90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178" w:rsidRDefault="00897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7690" w:rsidRDefault="00722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72" w:rsidRDefault="00722772">
      <w:r>
        <w:separator/>
      </w:r>
    </w:p>
  </w:footnote>
  <w:footnote w:type="continuationSeparator" w:id="0">
    <w:p w:rsidR="00722772" w:rsidRDefault="0072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7AD"/>
    <w:multiLevelType w:val="hybridMultilevel"/>
    <w:tmpl w:val="D61C94FA"/>
    <w:lvl w:ilvl="0" w:tplc="DC58D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A41635"/>
    <w:multiLevelType w:val="hybridMultilevel"/>
    <w:tmpl w:val="6EF63AB8"/>
    <w:lvl w:ilvl="0" w:tplc="58C62D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C15203"/>
    <w:multiLevelType w:val="hybridMultilevel"/>
    <w:tmpl w:val="0C0EB97E"/>
    <w:lvl w:ilvl="0" w:tplc="ECF048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86"/>
    <w:rsid w:val="00004030"/>
    <w:rsid w:val="00005191"/>
    <w:rsid w:val="00006322"/>
    <w:rsid w:val="0003212A"/>
    <w:rsid w:val="000361C8"/>
    <w:rsid w:val="00067ECF"/>
    <w:rsid w:val="00075D06"/>
    <w:rsid w:val="0008370C"/>
    <w:rsid w:val="00092198"/>
    <w:rsid w:val="00095F68"/>
    <w:rsid w:val="000978EE"/>
    <w:rsid w:val="000A3B85"/>
    <w:rsid w:val="000A5393"/>
    <w:rsid w:val="000B15E7"/>
    <w:rsid w:val="000C6D7E"/>
    <w:rsid w:val="00112DF7"/>
    <w:rsid w:val="00132661"/>
    <w:rsid w:val="00146F13"/>
    <w:rsid w:val="00160F38"/>
    <w:rsid w:val="00164946"/>
    <w:rsid w:val="00182620"/>
    <w:rsid w:val="001865C8"/>
    <w:rsid w:val="001A02D8"/>
    <w:rsid w:val="001A2C2F"/>
    <w:rsid w:val="001D373D"/>
    <w:rsid w:val="001E5B19"/>
    <w:rsid w:val="001F3438"/>
    <w:rsid w:val="002317E4"/>
    <w:rsid w:val="002539D3"/>
    <w:rsid w:val="0028480F"/>
    <w:rsid w:val="002A032F"/>
    <w:rsid w:val="002A3DC4"/>
    <w:rsid w:val="002B173F"/>
    <w:rsid w:val="002B748A"/>
    <w:rsid w:val="002E52FA"/>
    <w:rsid w:val="002F3A5B"/>
    <w:rsid w:val="00314068"/>
    <w:rsid w:val="003326EB"/>
    <w:rsid w:val="0034620A"/>
    <w:rsid w:val="00346B2C"/>
    <w:rsid w:val="00355048"/>
    <w:rsid w:val="003742CC"/>
    <w:rsid w:val="00375B57"/>
    <w:rsid w:val="0038069E"/>
    <w:rsid w:val="00380A81"/>
    <w:rsid w:val="00386BB1"/>
    <w:rsid w:val="003C16B2"/>
    <w:rsid w:val="003E5A1B"/>
    <w:rsid w:val="003F2532"/>
    <w:rsid w:val="00423248"/>
    <w:rsid w:val="004462FE"/>
    <w:rsid w:val="00452483"/>
    <w:rsid w:val="004969DD"/>
    <w:rsid w:val="004C4B2A"/>
    <w:rsid w:val="004E3FB6"/>
    <w:rsid w:val="00502551"/>
    <w:rsid w:val="005127F6"/>
    <w:rsid w:val="0051385B"/>
    <w:rsid w:val="0053025E"/>
    <w:rsid w:val="00547941"/>
    <w:rsid w:val="00573C87"/>
    <w:rsid w:val="00580E60"/>
    <w:rsid w:val="005A32F6"/>
    <w:rsid w:val="005A4981"/>
    <w:rsid w:val="005C1F86"/>
    <w:rsid w:val="005D15E1"/>
    <w:rsid w:val="005D6254"/>
    <w:rsid w:val="005E3FB6"/>
    <w:rsid w:val="005F0ADE"/>
    <w:rsid w:val="005F60C4"/>
    <w:rsid w:val="00613722"/>
    <w:rsid w:val="00614B86"/>
    <w:rsid w:val="00620C6E"/>
    <w:rsid w:val="006234B1"/>
    <w:rsid w:val="006250D5"/>
    <w:rsid w:val="0063674F"/>
    <w:rsid w:val="006567F4"/>
    <w:rsid w:val="00662F6A"/>
    <w:rsid w:val="006700CE"/>
    <w:rsid w:val="00675887"/>
    <w:rsid w:val="0068011B"/>
    <w:rsid w:val="006860C2"/>
    <w:rsid w:val="00696E95"/>
    <w:rsid w:val="006A09A0"/>
    <w:rsid w:val="006A4A6D"/>
    <w:rsid w:val="006B2E97"/>
    <w:rsid w:val="006C2553"/>
    <w:rsid w:val="006C7A00"/>
    <w:rsid w:val="006E1DBE"/>
    <w:rsid w:val="006E42FE"/>
    <w:rsid w:val="006F0CAA"/>
    <w:rsid w:val="006F6748"/>
    <w:rsid w:val="00714B72"/>
    <w:rsid w:val="00722772"/>
    <w:rsid w:val="00732591"/>
    <w:rsid w:val="00734AAA"/>
    <w:rsid w:val="00747C26"/>
    <w:rsid w:val="0075183A"/>
    <w:rsid w:val="007631E3"/>
    <w:rsid w:val="00794A41"/>
    <w:rsid w:val="007A1189"/>
    <w:rsid w:val="007A56DC"/>
    <w:rsid w:val="007B1BB1"/>
    <w:rsid w:val="007B5E64"/>
    <w:rsid w:val="007B6AC7"/>
    <w:rsid w:val="007D2175"/>
    <w:rsid w:val="007D406C"/>
    <w:rsid w:val="007D44D6"/>
    <w:rsid w:val="007E315F"/>
    <w:rsid w:val="007E3F62"/>
    <w:rsid w:val="007F2DCB"/>
    <w:rsid w:val="0080372C"/>
    <w:rsid w:val="00827EC7"/>
    <w:rsid w:val="0086686A"/>
    <w:rsid w:val="00874B62"/>
    <w:rsid w:val="00897178"/>
    <w:rsid w:val="0089720A"/>
    <w:rsid w:val="008A148C"/>
    <w:rsid w:val="008B1530"/>
    <w:rsid w:val="008C42CC"/>
    <w:rsid w:val="008C59C0"/>
    <w:rsid w:val="008E7E5B"/>
    <w:rsid w:val="0090117B"/>
    <w:rsid w:val="0091523E"/>
    <w:rsid w:val="0093793A"/>
    <w:rsid w:val="009646B0"/>
    <w:rsid w:val="00984377"/>
    <w:rsid w:val="009E2585"/>
    <w:rsid w:val="00A01342"/>
    <w:rsid w:val="00A23A2E"/>
    <w:rsid w:val="00A337AA"/>
    <w:rsid w:val="00A35AE2"/>
    <w:rsid w:val="00A52EDB"/>
    <w:rsid w:val="00A74D31"/>
    <w:rsid w:val="00A8717F"/>
    <w:rsid w:val="00A90F97"/>
    <w:rsid w:val="00AA228E"/>
    <w:rsid w:val="00B159FF"/>
    <w:rsid w:val="00B35976"/>
    <w:rsid w:val="00B51D04"/>
    <w:rsid w:val="00B914B1"/>
    <w:rsid w:val="00BA31E3"/>
    <w:rsid w:val="00BA36E7"/>
    <w:rsid w:val="00BA71FF"/>
    <w:rsid w:val="00BA7F29"/>
    <w:rsid w:val="00BC10D7"/>
    <w:rsid w:val="00C01A27"/>
    <w:rsid w:val="00C33F8F"/>
    <w:rsid w:val="00C51AFD"/>
    <w:rsid w:val="00C65971"/>
    <w:rsid w:val="00C65CF3"/>
    <w:rsid w:val="00C74DDD"/>
    <w:rsid w:val="00C87672"/>
    <w:rsid w:val="00C92119"/>
    <w:rsid w:val="00CB7215"/>
    <w:rsid w:val="00D114CD"/>
    <w:rsid w:val="00D31594"/>
    <w:rsid w:val="00D4055D"/>
    <w:rsid w:val="00D652C8"/>
    <w:rsid w:val="00D7038C"/>
    <w:rsid w:val="00D72222"/>
    <w:rsid w:val="00DC2D97"/>
    <w:rsid w:val="00DF4F68"/>
    <w:rsid w:val="00E20965"/>
    <w:rsid w:val="00E23576"/>
    <w:rsid w:val="00E401B3"/>
    <w:rsid w:val="00E45796"/>
    <w:rsid w:val="00E61A0B"/>
    <w:rsid w:val="00E85FF9"/>
    <w:rsid w:val="00E87E3D"/>
    <w:rsid w:val="00EB3434"/>
    <w:rsid w:val="00EB5B17"/>
    <w:rsid w:val="00EB7845"/>
    <w:rsid w:val="00EC2EAE"/>
    <w:rsid w:val="00EC59CE"/>
    <w:rsid w:val="00ED3DDB"/>
    <w:rsid w:val="00EF4CFB"/>
    <w:rsid w:val="00F03A7D"/>
    <w:rsid w:val="00F12557"/>
    <w:rsid w:val="00F55498"/>
    <w:rsid w:val="00F623EA"/>
    <w:rsid w:val="00F66A8A"/>
    <w:rsid w:val="00F87060"/>
    <w:rsid w:val="00F94C56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421F2-820C-4608-8466-C5B3A208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79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C1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10">
    <w:name w:val="Heading #1"/>
    <w:basedOn w:val="Heading1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single"/>
      <w:lang w:val="bg-BG" w:eastAsia="bg-BG" w:bidi="bg-BG"/>
    </w:rPr>
  </w:style>
  <w:style w:type="character" w:customStyle="1" w:styleId="Bodytext2Spacing1pt">
    <w:name w:val="Body text (2) + Spacing 1 pt"/>
    <w:basedOn w:val="Bodytext2"/>
    <w:rsid w:val="00BC10D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BC10D7"/>
    <w:pPr>
      <w:shd w:val="clear" w:color="auto" w:fill="FFFFFF"/>
      <w:spacing w:before="360" w:line="40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rsid w:val="005025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551"/>
    <w:pPr>
      <w:widowControl/>
    </w:pPr>
    <w:rPr>
      <w:rFonts w:ascii="Times New Roman" w:eastAsia="MS Mincho" w:hAnsi="Times New Roman" w:cs="Times New Roman"/>
      <w:color w:val="auto"/>
      <w:sz w:val="20"/>
      <w:szCs w:val="20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02551"/>
    <w:rPr>
      <w:rFonts w:ascii="Times New Roman" w:eastAsia="MS Mincho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51"/>
    <w:rPr>
      <w:rFonts w:ascii="Tahoma" w:eastAsia="Arial Unicode MS" w:hAnsi="Tahoma" w:cs="Tahoma"/>
      <w:color w:val="000000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8971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78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8971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78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60"/>
    <w:pPr>
      <w:widowControl w:val="0"/>
    </w:pPr>
    <w:rPr>
      <w:rFonts w:ascii="Arial Unicode MS" w:eastAsia="Arial Unicode MS" w:hAnsi="Arial Unicode MS" w:cs="Arial Unicode MS"/>
      <w:b/>
      <w:bCs/>
      <w:color w:val="000000"/>
      <w:lang w:val="bg-BG" w:eastAsia="bg-BG" w:bidi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60"/>
    <w:rPr>
      <w:rFonts w:ascii="Arial Unicode MS" w:eastAsia="Arial Unicode MS" w:hAnsi="Arial Unicode MS" w:cs="Arial Unicode MS"/>
      <w:b/>
      <w:bCs/>
      <w:color w:val="000000"/>
      <w:sz w:val="20"/>
      <w:szCs w:val="20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EB34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9A76-3079-4245-9C08-3748987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Таранджийска</dc:creator>
  <cp:lastModifiedBy>MARGARITA LYUBOMIROVA TOMOVA</cp:lastModifiedBy>
  <cp:revision>2</cp:revision>
  <cp:lastPrinted>2023-02-02T11:36:00Z</cp:lastPrinted>
  <dcterms:created xsi:type="dcterms:W3CDTF">2023-02-14T08:13:00Z</dcterms:created>
  <dcterms:modified xsi:type="dcterms:W3CDTF">2023-02-14T08:13:00Z</dcterms:modified>
</cp:coreProperties>
</file>